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054C05A7" w14:textId="5F7FC7E4" w:rsidR="00C4175A" w:rsidRPr="001777F7" w:rsidRDefault="00EC7412" w:rsidP="00C4175A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EC7412">
        <w:rPr>
          <w:rFonts w:ascii="Geometria" w:hAnsi="Geometria"/>
          <w:sz w:val="36"/>
          <w:szCs w:val="36"/>
          <w:lang w:val="uk-UA"/>
        </w:rPr>
        <w:t xml:space="preserve">CEMTOBENT </w:t>
      </w:r>
      <w:r w:rsidR="008B029B" w:rsidRPr="008B029B">
        <w:rPr>
          <w:rFonts w:ascii="Geometria" w:hAnsi="Geometria"/>
          <w:sz w:val="36"/>
          <w:szCs w:val="36"/>
          <w:lang w:val="uk-UA"/>
        </w:rPr>
        <w:t>COMBISEAL-PLUS</w:t>
      </w:r>
    </w:p>
    <w:p w14:paraId="255EAB29" w14:textId="63DBA28D" w:rsidR="008B029B" w:rsidRPr="008B029B" w:rsidRDefault="002E297E" w:rsidP="008B029B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Це б</w:t>
      </w:r>
      <w:r w:rsidR="008B029B" w:rsidRPr="008B029B">
        <w:rPr>
          <w:bCs/>
          <w:sz w:val="26"/>
          <w:szCs w:val="26"/>
          <w:lang w:val="uk-UA"/>
        </w:rPr>
        <w:t>ентонітові мати з потрійним захистом, які захищають від</w:t>
      </w:r>
      <w:r w:rsidR="008B029B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дотику</w:t>
      </w:r>
      <w:r w:rsidR="008B029B" w:rsidRPr="008B029B">
        <w:rPr>
          <w:bCs/>
          <w:sz w:val="26"/>
          <w:szCs w:val="26"/>
          <w:lang w:val="uk-UA"/>
        </w:rPr>
        <w:t xml:space="preserve"> з землею бетонних площин у підземному будівництві.</w:t>
      </w:r>
      <w:r w:rsidR="008B029B">
        <w:rPr>
          <w:bCs/>
          <w:sz w:val="26"/>
          <w:szCs w:val="26"/>
          <w:lang w:val="uk-UA"/>
        </w:rPr>
        <w:t xml:space="preserve"> </w:t>
      </w:r>
      <w:r w:rsidR="008B029B" w:rsidRPr="008B029B">
        <w:rPr>
          <w:bCs/>
          <w:sz w:val="26"/>
          <w:szCs w:val="26"/>
          <w:lang w:val="uk-UA"/>
        </w:rPr>
        <w:t>Замінюють всі види герметизуючих матеріалів, таких як бітумне полотно,</w:t>
      </w:r>
      <w:r w:rsidR="008B029B">
        <w:rPr>
          <w:bCs/>
          <w:sz w:val="26"/>
          <w:szCs w:val="26"/>
          <w:lang w:val="uk-UA"/>
        </w:rPr>
        <w:t xml:space="preserve"> </w:t>
      </w:r>
      <w:r w:rsidR="008B029B" w:rsidRPr="008B029B">
        <w:rPr>
          <w:bCs/>
          <w:sz w:val="26"/>
          <w:szCs w:val="26"/>
          <w:lang w:val="uk-UA"/>
        </w:rPr>
        <w:t>обмазувальна гідроізоляція та полімерні мембрани. Завдяки сучасному</w:t>
      </w:r>
      <w:r w:rsidR="008B029B">
        <w:rPr>
          <w:bCs/>
          <w:sz w:val="26"/>
          <w:szCs w:val="26"/>
          <w:lang w:val="uk-UA"/>
        </w:rPr>
        <w:t xml:space="preserve"> </w:t>
      </w:r>
      <w:r w:rsidR="008B029B" w:rsidRPr="008B029B">
        <w:rPr>
          <w:bCs/>
          <w:sz w:val="26"/>
          <w:szCs w:val="26"/>
          <w:lang w:val="uk-UA"/>
        </w:rPr>
        <w:t>виробництву виріб технічно перевершує інші, схожі комбіновані</w:t>
      </w:r>
      <w:r w:rsidR="008B029B">
        <w:rPr>
          <w:bCs/>
          <w:sz w:val="26"/>
          <w:szCs w:val="26"/>
          <w:lang w:val="uk-UA"/>
        </w:rPr>
        <w:t xml:space="preserve"> </w:t>
      </w:r>
      <w:r w:rsidR="008B029B" w:rsidRPr="008B029B">
        <w:rPr>
          <w:bCs/>
          <w:sz w:val="26"/>
          <w:szCs w:val="26"/>
          <w:lang w:val="uk-UA"/>
        </w:rPr>
        <w:t>матеріали із плівки PE та бентоніту.</w:t>
      </w:r>
    </w:p>
    <w:p w14:paraId="3BD8F978" w14:textId="77777777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B029B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47A40D56" w14:textId="7B54FB2C" w:rsidR="008B029B" w:rsidRPr="008B029B" w:rsidRDefault="008B029B" w:rsidP="008B029B">
      <w:pPr>
        <w:pStyle w:val="a3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Ущільнюючий ефект бентонітового ма</w:t>
      </w:r>
      <w:r>
        <w:rPr>
          <w:bCs/>
          <w:sz w:val="26"/>
          <w:szCs w:val="26"/>
          <w:lang w:val="uk-UA"/>
        </w:rPr>
        <w:t>ту проявляється лише тоді, коли п</w:t>
      </w:r>
      <w:r w:rsidRPr="008B029B">
        <w:rPr>
          <w:bCs/>
          <w:sz w:val="26"/>
          <w:szCs w:val="26"/>
          <w:lang w:val="uk-UA"/>
        </w:rPr>
        <w:t>очаткова гідроізоляція PE-3-D-Composit була пошкоджена.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У проникаючій воді бентоніт розбухає і створює щільний шар у формі гелю,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який ущільнює та гідроізолює поверхню</w:t>
      </w:r>
      <w:r w:rsidR="002E297E">
        <w:rPr>
          <w:bCs/>
          <w:sz w:val="26"/>
          <w:szCs w:val="26"/>
          <w:lang w:val="uk-UA"/>
        </w:rPr>
        <w:t xml:space="preserve"> конструкції</w:t>
      </w:r>
      <w:r w:rsidRPr="008B029B">
        <w:rPr>
          <w:bCs/>
          <w:sz w:val="26"/>
          <w:szCs w:val="26"/>
          <w:lang w:val="uk-UA"/>
        </w:rPr>
        <w:t>. Після цього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усадкові тріщини в бетоні також надійно гідроізолюються.</w:t>
      </w:r>
    </w:p>
    <w:p w14:paraId="7BA064D8" w14:textId="77777777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B029B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33491E0A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не забруднюють довкілля;</w:t>
      </w:r>
    </w:p>
    <w:p w14:paraId="0446C45B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дуже</w:t>
      </w:r>
      <w:r w:rsidRPr="008B029B">
        <w:rPr>
          <w:bCs/>
          <w:sz w:val="26"/>
          <w:szCs w:val="26"/>
          <w:lang w:val="uk-UA"/>
        </w:rPr>
        <w:t xml:space="preserve"> стійкі;</w:t>
      </w:r>
    </w:p>
    <w:p w14:paraId="37BE7A31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матеріал</w:t>
      </w:r>
      <w:r w:rsidRPr="008B029B">
        <w:rPr>
          <w:bCs/>
          <w:sz w:val="26"/>
          <w:szCs w:val="26"/>
          <w:lang w:val="uk-UA"/>
        </w:rPr>
        <w:t>, що легко укладається;</w:t>
      </w:r>
    </w:p>
    <w:p w14:paraId="143F7C08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мають високу міцність об'єднання;</w:t>
      </w:r>
    </w:p>
    <w:p w14:paraId="21282B8A" w14:textId="0B084AFF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контрольована якість;</w:t>
      </w:r>
    </w:p>
    <w:p w14:paraId="3E41B935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подвійна гідроізоляція;</w:t>
      </w:r>
    </w:p>
    <w:p w14:paraId="6C545CBA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не</w:t>
      </w:r>
      <w:r w:rsidRPr="008B029B">
        <w:rPr>
          <w:bCs/>
          <w:sz w:val="26"/>
          <w:szCs w:val="26"/>
          <w:lang w:val="uk-UA"/>
        </w:rPr>
        <w:t>залежність від сезонних умов;</w:t>
      </w:r>
    </w:p>
    <w:p w14:paraId="0F781AF8" w14:textId="77777777" w:rsid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економія кількості арматури;</w:t>
      </w:r>
    </w:p>
    <w:p w14:paraId="73AEE727" w14:textId="47356B85" w:rsidR="008B029B" w:rsidRPr="008B029B" w:rsidRDefault="008B029B" w:rsidP="002E297E">
      <w:pPr>
        <w:pStyle w:val="a3"/>
        <w:numPr>
          <w:ilvl w:val="0"/>
          <w:numId w:val="23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</w:t>
      </w:r>
      <w:r w:rsidRPr="008B029B">
        <w:rPr>
          <w:bCs/>
          <w:sz w:val="26"/>
          <w:szCs w:val="26"/>
          <w:lang w:val="uk-UA"/>
        </w:rPr>
        <w:t>амозалік</w:t>
      </w:r>
      <w:r w:rsidR="002E297E">
        <w:rPr>
          <w:bCs/>
          <w:sz w:val="26"/>
          <w:szCs w:val="26"/>
          <w:lang w:val="uk-UA"/>
        </w:rPr>
        <w:t>ову</w:t>
      </w:r>
      <w:r w:rsidRPr="008B029B">
        <w:rPr>
          <w:bCs/>
          <w:sz w:val="26"/>
          <w:szCs w:val="26"/>
          <w:lang w:val="uk-UA"/>
        </w:rPr>
        <w:t>вання.</w:t>
      </w:r>
    </w:p>
    <w:p w14:paraId="17E6CB51" w14:textId="77777777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B029B">
        <w:rPr>
          <w:rFonts w:ascii="Geometria" w:hAnsi="Geometria"/>
          <w:b/>
          <w:bCs/>
          <w:sz w:val="26"/>
          <w:szCs w:val="26"/>
          <w:lang w:val="uk-UA"/>
        </w:rPr>
        <w:t>СКЛАД</w:t>
      </w:r>
    </w:p>
    <w:p w14:paraId="113D9D13" w14:textId="77777777" w:rsidR="008B029B" w:rsidRDefault="008B029B" w:rsidP="002E297E">
      <w:pPr>
        <w:pStyle w:val="a3"/>
        <w:numPr>
          <w:ilvl w:val="0"/>
          <w:numId w:val="24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</w:t>
      </w:r>
      <w:r w:rsidRPr="008B029B">
        <w:rPr>
          <w:bCs/>
          <w:sz w:val="26"/>
          <w:szCs w:val="26"/>
          <w:lang w:val="uk-UA"/>
        </w:rPr>
        <w:t>очаткова гідроізоляція: PE-3-D-Composit;</w:t>
      </w:r>
    </w:p>
    <w:p w14:paraId="3BE85CD3" w14:textId="77777777" w:rsidR="008B029B" w:rsidRDefault="008B029B" w:rsidP="002E297E">
      <w:pPr>
        <w:pStyle w:val="a3"/>
        <w:numPr>
          <w:ilvl w:val="0"/>
          <w:numId w:val="2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вторинна гідроізоляція: підкладка з нетканого матеріалу та геокомпозитної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глини;</w:t>
      </w:r>
    </w:p>
    <w:p w14:paraId="44245E81" w14:textId="19ACA6FF" w:rsidR="008B029B" w:rsidRPr="008B029B" w:rsidRDefault="008B029B" w:rsidP="002E297E">
      <w:pPr>
        <w:pStyle w:val="a3"/>
        <w:numPr>
          <w:ilvl w:val="0"/>
          <w:numId w:val="24"/>
        </w:numPr>
        <w:ind w:left="284" w:hanging="284"/>
        <w:jc w:val="both"/>
        <w:rPr>
          <w:bCs/>
          <w:sz w:val="26"/>
          <w:szCs w:val="26"/>
          <w:lang w:val="uk-UA"/>
        </w:rPr>
        <w:sectPr w:rsidR="008B029B" w:rsidRPr="008B029B" w:rsidSect="00744A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  <w:r w:rsidRPr="008B029B">
        <w:rPr>
          <w:bCs/>
          <w:sz w:val="26"/>
          <w:szCs w:val="26"/>
          <w:lang w:val="uk-UA"/>
        </w:rPr>
        <w:t>щільна, PE тканина, яка одночасно діє як захист від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проростання коріння.</w:t>
      </w:r>
    </w:p>
    <w:p w14:paraId="2A509D24" w14:textId="77777777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B029B">
        <w:rPr>
          <w:rFonts w:ascii="Geometria" w:hAnsi="Geometria"/>
          <w:b/>
          <w:bCs/>
          <w:sz w:val="26"/>
          <w:szCs w:val="26"/>
          <w:lang w:val="uk-UA"/>
        </w:rPr>
        <w:lastRenderedPageBreak/>
        <w:t>ВИМОГИ ДО ПОВЕРХНІ</w:t>
      </w:r>
    </w:p>
    <w:p w14:paraId="03561549" w14:textId="24EC5F22" w:rsidR="008B029B" w:rsidRPr="008B029B" w:rsidRDefault="002E297E" w:rsidP="008B029B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 якості основи</w:t>
      </w:r>
      <w:r w:rsidR="008B029B" w:rsidRPr="008B029B">
        <w:rPr>
          <w:bCs/>
          <w:sz w:val="26"/>
          <w:szCs w:val="26"/>
          <w:lang w:val="uk-UA"/>
        </w:rPr>
        <w:t xml:space="preserve"> підходять всі</w:t>
      </w:r>
      <w:r w:rsidR="008B029B">
        <w:rPr>
          <w:bCs/>
          <w:sz w:val="26"/>
          <w:szCs w:val="26"/>
          <w:lang w:val="uk-UA"/>
        </w:rPr>
        <w:t xml:space="preserve"> досить міцні і несучі</w:t>
      </w:r>
      <w:r w:rsidR="00075BD2">
        <w:rPr>
          <w:bCs/>
          <w:sz w:val="26"/>
          <w:szCs w:val="26"/>
          <w:lang w:val="uk-UA"/>
        </w:rPr>
        <w:t xml:space="preserve"> </w:t>
      </w:r>
      <w:r w:rsidR="008B029B" w:rsidRPr="008B029B">
        <w:rPr>
          <w:bCs/>
          <w:sz w:val="26"/>
          <w:szCs w:val="26"/>
          <w:lang w:val="uk-UA"/>
        </w:rPr>
        <w:t>поверхні. Тріщини та нерівності більше 1 мм необхідно усунути шпаклівкою.</w:t>
      </w:r>
    </w:p>
    <w:p w14:paraId="187B3590" w14:textId="77777777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B029B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67ACEDDE" w14:textId="116B1CE4" w:rsidR="008B029B" w:rsidRPr="008B029B" w:rsidRDefault="008B029B" w:rsidP="008B029B">
      <w:pPr>
        <w:pStyle w:val="a3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При горизонтальній гідроізоляції матеріал уклад</w:t>
      </w:r>
      <w:r>
        <w:rPr>
          <w:bCs/>
          <w:sz w:val="26"/>
          <w:szCs w:val="26"/>
          <w:lang w:val="uk-UA"/>
        </w:rPr>
        <w:t xml:space="preserve">ається </w:t>
      </w:r>
      <w:r w:rsidR="002E297E">
        <w:rPr>
          <w:bCs/>
          <w:sz w:val="26"/>
          <w:szCs w:val="26"/>
          <w:lang w:val="uk-UA"/>
        </w:rPr>
        <w:t>внахлест</w:t>
      </w:r>
      <w:r>
        <w:rPr>
          <w:bCs/>
          <w:sz w:val="26"/>
          <w:szCs w:val="26"/>
          <w:lang w:val="uk-UA"/>
        </w:rPr>
        <w:t xml:space="preserve"> (близько 15 см) </w:t>
      </w:r>
      <w:r w:rsidRPr="008B029B">
        <w:rPr>
          <w:bCs/>
          <w:sz w:val="26"/>
          <w:szCs w:val="26"/>
          <w:lang w:val="uk-UA"/>
        </w:rPr>
        <w:t>і придавлюється стяжкою або ж/б плитою.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При вертикальній гідроізоляції при укладанні використовується механічне</w:t>
      </w:r>
      <w:r>
        <w:rPr>
          <w:bCs/>
          <w:sz w:val="26"/>
          <w:szCs w:val="26"/>
          <w:lang w:val="uk-UA"/>
        </w:rPr>
        <w:t xml:space="preserve"> </w:t>
      </w:r>
      <w:r w:rsidRPr="008B029B">
        <w:rPr>
          <w:bCs/>
          <w:sz w:val="26"/>
          <w:szCs w:val="26"/>
          <w:lang w:val="uk-UA"/>
        </w:rPr>
        <w:t>кріплення та обов'язкове засипання ґрунт</w:t>
      </w:r>
      <w:r w:rsidR="002E297E">
        <w:rPr>
          <w:bCs/>
          <w:sz w:val="26"/>
          <w:szCs w:val="26"/>
          <w:lang w:val="uk-UA"/>
        </w:rPr>
        <w:t>ом</w:t>
      </w:r>
      <w:r w:rsidRPr="008B029B">
        <w:rPr>
          <w:bCs/>
          <w:sz w:val="26"/>
          <w:szCs w:val="26"/>
          <w:lang w:val="uk-UA"/>
        </w:rPr>
        <w:t xml:space="preserve"> з подальшим утрамбуванням.</w:t>
      </w:r>
    </w:p>
    <w:p w14:paraId="702E4259" w14:textId="77777777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B029B">
        <w:rPr>
          <w:rFonts w:ascii="Geometria" w:hAnsi="Geometria"/>
          <w:b/>
          <w:bCs/>
          <w:sz w:val="26"/>
          <w:szCs w:val="26"/>
          <w:lang w:val="uk-UA"/>
        </w:rPr>
        <w:t>ЗБЕРІГАННЯ</w:t>
      </w:r>
    </w:p>
    <w:p w14:paraId="563A613D" w14:textId="46661C37" w:rsidR="008B029B" w:rsidRPr="008B029B" w:rsidRDefault="008B029B" w:rsidP="008B029B">
      <w:pPr>
        <w:pStyle w:val="a3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Потрійний герметизуючий мат зберігається безстроково в сухому, непро</w:t>
      </w:r>
      <w:r>
        <w:rPr>
          <w:bCs/>
          <w:sz w:val="26"/>
          <w:szCs w:val="26"/>
          <w:lang w:val="uk-UA"/>
        </w:rPr>
        <w:t>мерза</w:t>
      </w:r>
      <w:r w:rsidR="002E297E">
        <w:rPr>
          <w:bCs/>
          <w:sz w:val="26"/>
          <w:szCs w:val="26"/>
          <w:lang w:val="uk-UA"/>
        </w:rPr>
        <w:t>ючо</w:t>
      </w:r>
      <w:r>
        <w:rPr>
          <w:bCs/>
          <w:sz w:val="26"/>
          <w:szCs w:val="26"/>
          <w:lang w:val="uk-UA"/>
        </w:rPr>
        <w:t xml:space="preserve">му та </w:t>
      </w:r>
      <w:r w:rsidRPr="008B029B">
        <w:rPr>
          <w:bCs/>
          <w:sz w:val="26"/>
          <w:szCs w:val="26"/>
          <w:lang w:val="uk-UA"/>
        </w:rPr>
        <w:t>захищеному від впливу сильного тепла місці.</w:t>
      </w:r>
    </w:p>
    <w:p w14:paraId="18B14651" w14:textId="22DCBC5C" w:rsidR="008B029B" w:rsidRPr="008B029B" w:rsidRDefault="008B029B" w:rsidP="008B029B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>
        <w:rPr>
          <w:rFonts w:ascii="Geometria" w:hAnsi="Geometria"/>
          <w:b/>
          <w:bCs/>
          <w:sz w:val="26"/>
          <w:szCs w:val="26"/>
          <w:lang w:val="uk-UA"/>
        </w:rPr>
        <w:t>ФОРМА ПОСТАЧАННЯ</w:t>
      </w:r>
    </w:p>
    <w:p w14:paraId="63E34D24" w14:textId="77777777" w:rsidR="008B029B" w:rsidRPr="008B029B" w:rsidRDefault="008B029B" w:rsidP="002E297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1,80 м x 30 м</w:t>
      </w:r>
    </w:p>
    <w:p w14:paraId="2213555E" w14:textId="77777777" w:rsidR="008B029B" w:rsidRPr="008B029B" w:rsidRDefault="008B029B" w:rsidP="002E297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3,60 м x 30 м</w:t>
      </w:r>
    </w:p>
    <w:p w14:paraId="0F8F4813" w14:textId="5ABEB137" w:rsidR="008B029B" w:rsidRPr="008B029B" w:rsidRDefault="008B029B" w:rsidP="002E297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8B029B">
        <w:rPr>
          <w:bCs/>
          <w:sz w:val="26"/>
          <w:szCs w:val="26"/>
          <w:lang w:val="uk-UA"/>
        </w:rPr>
        <w:t>1,20 м x 30 м</w:t>
      </w:r>
    </w:p>
    <w:p w14:paraId="3E64119E" w14:textId="4A9C8F80" w:rsidR="00B40353" w:rsidRPr="001777F7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t xml:space="preserve">ТЕХНІЧНІ </w:t>
      </w:r>
      <w:r w:rsidR="0000104C">
        <w:rPr>
          <w:rFonts w:ascii="Geometria" w:hAnsi="Geometria"/>
          <w:b/>
          <w:bCs/>
          <w:sz w:val="26"/>
          <w:szCs w:val="26"/>
          <w:lang w:val="uk-UA"/>
        </w:rPr>
        <w:t>ПАРАМЕТРИ</w:t>
      </w:r>
    </w:p>
    <w:tbl>
      <w:tblPr>
        <w:tblStyle w:val="11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65"/>
        <w:gridCol w:w="4672"/>
      </w:tblGrid>
      <w:tr w:rsidR="001777F7" w:rsidRPr="00AD3D8E" w14:paraId="529744EB" w14:textId="77777777" w:rsidTr="009D613B">
        <w:tc>
          <w:tcPr>
            <w:tcW w:w="4565" w:type="dxa"/>
          </w:tcPr>
          <w:p w14:paraId="655E4550" w14:textId="0E02A7EE" w:rsidR="001777F7" w:rsidRPr="00742ECB" w:rsidRDefault="00532D7C" w:rsidP="002E297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532D7C">
              <w:rPr>
                <w:rFonts w:ascii="Geometria" w:hAnsi="Geometria"/>
                <w:lang w:val="uk-UA"/>
              </w:rPr>
              <w:t>Загальна маса</w:t>
            </w:r>
          </w:p>
        </w:tc>
        <w:tc>
          <w:tcPr>
            <w:tcW w:w="4672" w:type="dxa"/>
          </w:tcPr>
          <w:p w14:paraId="6C9606FF" w14:textId="6A74F802" w:rsidR="001777F7" w:rsidRPr="002E297E" w:rsidRDefault="008B029B" w:rsidP="002E297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2E297E">
              <w:rPr>
                <w:rFonts w:ascii="Geometria" w:hAnsi="Geometria"/>
                <w:b/>
                <w:bCs/>
              </w:rPr>
              <w:t>5.</w:t>
            </w:r>
            <w:r w:rsidRPr="002E297E">
              <w:rPr>
                <w:rFonts w:ascii="Geometria" w:hAnsi="Geometria"/>
                <w:b/>
                <w:bCs/>
                <w:lang w:val="uk-UA"/>
              </w:rPr>
              <w:t>5</w:t>
            </w:r>
            <w:r w:rsidR="00532D7C" w:rsidRPr="002E297E">
              <w:rPr>
                <w:rFonts w:ascii="Geometria" w:hAnsi="Geometria"/>
                <w:b/>
                <w:bCs/>
              </w:rPr>
              <w:t>00 г/м²</w:t>
            </w:r>
          </w:p>
        </w:tc>
      </w:tr>
      <w:tr w:rsidR="001777F7" w:rsidRPr="00AD3D8E" w14:paraId="5C681F4F" w14:textId="77777777" w:rsidTr="009D613B">
        <w:tc>
          <w:tcPr>
            <w:tcW w:w="4565" w:type="dxa"/>
          </w:tcPr>
          <w:p w14:paraId="103BD4F3" w14:textId="5F07FB02" w:rsidR="001777F7" w:rsidRPr="00C147B2" w:rsidRDefault="00532D7C" w:rsidP="002E297E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32D7C">
              <w:rPr>
                <w:rFonts w:ascii="Geometria" w:hAnsi="Geometria"/>
              </w:rPr>
              <w:t>Товщина</w:t>
            </w:r>
          </w:p>
        </w:tc>
        <w:tc>
          <w:tcPr>
            <w:tcW w:w="4672" w:type="dxa"/>
          </w:tcPr>
          <w:p w14:paraId="62651F21" w14:textId="1E9DAC99" w:rsidR="001777F7" w:rsidRPr="000E45BE" w:rsidRDefault="00532D7C" w:rsidP="002E297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532D7C">
              <w:rPr>
                <w:rFonts w:ascii="Geometria" w:hAnsi="Geometria"/>
                <w:b/>
                <w:bCs/>
                <w:lang w:val="uk-UA"/>
              </w:rPr>
              <w:t>не менше 8 мм</w:t>
            </w:r>
          </w:p>
        </w:tc>
      </w:tr>
      <w:tr w:rsidR="001777F7" w:rsidRPr="00AD3D8E" w14:paraId="6E1C1259" w14:textId="77777777" w:rsidTr="001777F7">
        <w:trPr>
          <w:trHeight w:val="70"/>
        </w:trPr>
        <w:tc>
          <w:tcPr>
            <w:tcW w:w="4565" w:type="dxa"/>
          </w:tcPr>
          <w:p w14:paraId="2186103D" w14:textId="00DFA917" w:rsidR="001777F7" w:rsidRPr="000E45BE" w:rsidRDefault="00532D7C" w:rsidP="002E297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532D7C">
              <w:rPr>
                <w:rFonts w:ascii="Geometria" w:hAnsi="Geometria"/>
                <w:lang w:val="uk-UA"/>
              </w:rPr>
              <w:t>Мах міцність на розрив</w:t>
            </w:r>
          </w:p>
        </w:tc>
        <w:tc>
          <w:tcPr>
            <w:tcW w:w="4672" w:type="dxa"/>
          </w:tcPr>
          <w:p w14:paraId="2F29B546" w14:textId="35AEB515" w:rsidR="001777F7" w:rsidRPr="00742ECB" w:rsidRDefault="008B029B" w:rsidP="002E297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B029B">
              <w:rPr>
                <w:rFonts w:ascii="Geometria" w:hAnsi="Geometria"/>
                <w:b/>
                <w:bCs/>
                <w:lang w:val="uk-UA"/>
              </w:rPr>
              <w:t>30 / 25 кН/м</w:t>
            </w:r>
          </w:p>
        </w:tc>
      </w:tr>
      <w:tr w:rsidR="001777F7" w:rsidRPr="00AD3D8E" w14:paraId="2804BCCD" w14:textId="77777777" w:rsidTr="00532D7C">
        <w:tc>
          <w:tcPr>
            <w:tcW w:w="4565" w:type="dxa"/>
          </w:tcPr>
          <w:p w14:paraId="45F8CAF4" w14:textId="012D52A3" w:rsidR="001777F7" w:rsidRPr="00C147B2" w:rsidRDefault="00532D7C" w:rsidP="002E297E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32D7C">
              <w:rPr>
                <w:rFonts w:ascii="Geometria" w:hAnsi="Geometria"/>
              </w:rPr>
              <w:t>Коефіцієнт проникності</w:t>
            </w:r>
          </w:p>
        </w:tc>
        <w:tc>
          <w:tcPr>
            <w:tcW w:w="4672" w:type="dxa"/>
          </w:tcPr>
          <w:p w14:paraId="748EDEC2" w14:textId="0BF012CD" w:rsidR="001777F7" w:rsidRPr="00742ECB" w:rsidRDefault="008B029B" w:rsidP="002E297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B029B">
              <w:rPr>
                <w:rFonts w:ascii="Geometria" w:hAnsi="Geometria"/>
                <w:b/>
                <w:bCs/>
                <w:lang w:val="uk-UA"/>
              </w:rPr>
              <w:t>2 x 10-15 м/сек</w:t>
            </w:r>
          </w:p>
        </w:tc>
      </w:tr>
      <w:tr w:rsidR="001777F7" w:rsidRPr="00AD3D8E" w14:paraId="3FE8D5EF" w14:textId="77777777" w:rsidTr="009D613B">
        <w:tc>
          <w:tcPr>
            <w:tcW w:w="4565" w:type="dxa"/>
          </w:tcPr>
          <w:p w14:paraId="58CBD5EB" w14:textId="326EA575" w:rsidR="001777F7" w:rsidRPr="00C147B2" w:rsidRDefault="00794669" w:rsidP="002E297E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794669">
              <w:rPr>
                <w:rFonts w:ascii="Geometria" w:hAnsi="Geometria"/>
              </w:rPr>
              <w:t>Водопоглинання</w:t>
            </w:r>
          </w:p>
        </w:tc>
        <w:tc>
          <w:tcPr>
            <w:tcW w:w="4672" w:type="dxa"/>
            <w:vAlign w:val="center"/>
          </w:tcPr>
          <w:p w14:paraId="1EDA8339" w14:textId="4EC8947D" w:rsidR="001777F7" w:rsidRPr="00742ECB" w:rsidRDefault="00794669" w:rsidP="002E29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94669">
              <w:rPr>
                <w:rFonts w:ascii="Geometria" w:hAnsi="Geometria"/>
                <w:b/>
                <w:bCs/>
                <w:lang w:val="uk-UA"/>
              </w:rPr>
              <w:t>500%</w:t>
            </w:r>
          </w:p>
        </w:tc>
      </w:tr>
    </w:tbl>
    <w:p w14:paraId="54A4BE9A" w14:textId="70AA5A66" w:rsidR="00744A76" w:rsidRDefault="00744A76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604AC7F6" w14:textId="77777777" w:rsidR="00C4175A" w:rsidRPr="00532D7C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  <w:lang w:val="uk-UA"/>
        </w:rPr>
      </w:pPr>
    </w:p>
    <w:p w14:paraId="28E32C69" w14:textId="77777777" w:rsidR="001F2456" w:rsidRPr="005A6E53" w:rsidRDefault="001F2456" w:rsidP="00933452">
      <w:pPr>
        <w:jc w:val="both"/>
        <w:rPr>
          <w:vanish/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3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E324" w14:textId="77777777" w:rsidR="00203EC2" w:rsidRDefault="00203EC2" w:rsidP="00EC6F4C">
      <w:r>
        <w:separator/>
      </w:r>
    </w:p>
  </w:endnote>
  <w:endnote w:type="continuationSeparator" w:id="0">
    <w:p w14:paraId="3F9B1BD5" w14:textId="77777777" w:rsidR="00203EC2" w:rsidRDefault="00203EC2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F425" w14:textId="77777777" w:rsidR="00963E46" w:rsidRDefault="00963E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1FC53C92" w:rsidR="00D72315" w:rsidRDefault="00980361" w:rsidP="00770D1C">
    <w:pPr>
      <w:pStyle w:val="a7"/>
      <w:jc w:val="right"/>
    </w:pPr>
    <w:r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CARBOLITH PL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728520CE" w:rsidR="00D72315" w:rsidRDefault="008B029B" w:rsidP="00770D1C">
    <w:pPr>
      <w:pStyle w:val="a7"/>
      <w:jc w:val="right"/>
    </w:pPr>
    <w:r w:rsidRPr="008B029B">
      <w:rPr>
        <w:rFonts w:ascii="Geometria" w:hAnsi="Geometria"/>
        <w:color w:val="AEAAAA" w:themeColor="background2" w:themeShade="BF"/>
        <w:sz w:val="20"/>
        <w:szCs w:val="20"/>
        <w:lang w:val="en-US"/>
      </w:rPr>
      <w:t>CEMTOBENT COMBISEAL-PLUS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3918A0FA" w:rsidR="00C55F98" w:rsidRDefault="00C55F98" w:rsidP="004B424E">
    <w:pPr>
      <w:pStyle w:val="a7"/>
      <w:jc w:val="right"/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8B029B" w:rsidRPr="008B029B">
      <w:t xml:space="preserve"> </w:t>
    </w:r>
    <w:r w:rsidR="008B029B" w:rsidRPr="008B029B">
      <w:rPr>
        <w:rFonts w:ascii="Geometria" w:hAnsi="Geometria"/>
        <w:color w:val="AEAAAA" w:themeColor="background2" w:themeShade="BF"/>
        <w:sz w:val="20"/>
        <w:szCs w:val="20"/>
        <w:lang w:val="en-US"/>
      </w:rPr>
      <w:t>CEMTOBENT COMBISEAL-PLUS</w:t>
    </w:r>
    <w:r w:rsidR="008B029B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DEEA" w14:textId="77777777" w:rsidR="00203EC2" w:rsidRDefault="00203EC2" w:rsidP="00EC6F4C">
      <w:r>
        <w:separator/>
      </w:r>
    </w:p>
  </w:footnote>
  <w:footnote w:type="continuationSeparator" w:id="0">
    <w:p w14:paraId="5A925DE9" w14:textId="77777777" w:rsidR="00203EC2" w:rsidRDefault="00203EC2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AFCD" w14:textId="77777777" w:rsidR="00963E46" w:rsidRDefault="00963E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FE91" w14:textId="77777777" w:rsidR="00963E46" w:rsidRDefault="00963E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3E561B3F" w:rsidR="00BE1C20" w:rsidRDefault="00963E46">
    <w:pPr>
      <w:pStyle w:val="a5"/>
    </w:pPr>
    <w:r>
      <w:rPr>
        <w:noProof/>
      </w:rPr>
      <w:drawing>
        <wp:inline distT="0" distB="0" distL="0" distR="0" wp14:anchorId="5B210F14" wp14:editId="3437C56F">
          <wp:extent cx="5940425" cy="1183005"/>
          <wp:effectExtent l="0" t="0" r="3175" b="0"/>
          <wp:docPr id="11697588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7AF"/>
    <w:multiLevelType w:val="hybridMultilevel"/>
    <w:tmpl w:val="93BE681C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F654B"/>
    <w:multiLevelType w:val="hybridMultilevel"/>
    <w:tmpl w:val="4E92B6F8"/>
    <w:lvl w:ilvl="0" w:tplc="C2B073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25C19"/>
    <w:multiLevelType w:val="hybridMultilevel"/>
    <w:tmpl w:val="D25C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87D0D"/>
    <w:multiLevelType w:val="hybridMultilevel"/>
    <w:tmpl w:val="C23AA492"/>
    <w:lvl w:ilvl="0" w:tplc="27A669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64765"/>
    <w:multiLevelType w:val="hybridMultilevel"/>
    <w:tmpl w:val="68DA154A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927744">
    <w:abstractNumId w:val="2"/>
  </w:num>
  <w:num w:numId="2" w16cid:durableId="389496611">
    <w:abstractNumId w:val="21"/>
  </w:num>
  <w:num w:numId="3" w16cid:durableId="1168014888">
    <w:abstractNumId w:val="7"/>
  </w:num>
  <w:num w:numId="4" w16cid:durableId="1765804484">
    <w:abstractNumId w:val="6"/>
  </w:num>
  <w:num w:numId="5" w16cid:durableId="341979858">
    <w:abstractNumId w:val="4"/>
  </w:num>
  <w:num w:numId="6" w16cid:durableId="1707025670">
    <w:abstractNumId w:val="3"/>
  </w:num>
  <w:num w:numId="7" w16cid:durableId="2127698401">
    <w:abstractNumId w:val="13"/>
  </w:num>
  <w:num w:numId="8" w16cid:durableId="2109765512">
    <w:abstractNumId w:val="19"/>
  </w:num>
  <w:num w:numId="9" w16cid:durableId="1915623660">
    <w:abstractNumId w:val="5"/>
  </w:num>
  <w:num w:numId="10" w16cid:durableId="875897236">
    <w:abstractNumId w:val="10"/>
  </w:num>
  <w:num w:numId="11" w16cid:durableId="822891809">
    <w:abstractNumId w:val="1"/>
  </w:num>
  <w:num w:numId="12" w16cid:durableId="573659181">
    <w:abstractNumId w:val="14"/>
  </w:num>
  <w:num w:numId="13" w16cid:durableId="1107240675">
    <w:abstractNumId w:val="23"/>
  </w:num>
  <w:num w:numId="14" w16cid:durableId="49505655">
    <w:abstractNumId w:val="15"/>
  </w:num>
  <w:num w:numId="15" w16cid:durableId="1440955115">
    <w:abstractNumId w:val="20"/>
  </w:num>
  <w:num w:numId="16" w16cid:durableId="1516920279">
    <w:abstractNumId w:val="18"/>
  </w:num>
  <w:num w:numId="17" w16cid:durableId="568463624">
    <w:abstractNumId w:val="12"/>
  </w:num>
  <w:num w:numId="18" w16cid:durableId="2065060503">
    <w:abstractNumId w:val="16"/>
  </w:num>
  <w:num w:numId="19" w16cid:durableId="350840730">
    <w:abstractNumId w:val="8"/>
  </w:num>
  <w:num w:numId="20" w16cid:durableId="2023236512">
    <w:abstractNumId w:val="0"/>
  </w:num>
  <w:num w:numId="21" w16cid:durableId="1907959077">
    <w:abstractNumId w:val="11"/>
  </w:num>
  <w:num w:numId="22" w16cid:durableId="172884250">
    <w:abstractNumId w:val="22"/>
  </w:num>
  <w:num w:numId="23" w16cid:durableId="1926068520">
    <w:abstractNumId w:val="9"/>
  </w:num>
  <w:num w:numId="24" w16cid:durableId="2068721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0104C"/>
    <w:rsid w:val="000357F2"/>
    <w:rsid w:val="00037A34"/>
    <w:rsid w:val="00065B5F"/>
    <w:rsid w:val="00075BD2"/>
    <w:rsid w:val="00076797"/>
    <w:rsid w:val="00142925"/>
    <w:rsid w:val="001475DC"/>
    <w:rsid w:val="001777F7"/>
    <w:rsid w:val="001E0B51"/>
    <w:rsid w:val="001F2456"/>
    <w:rsid w:val="001F2B3F"/>
    <w:rsid w:val="00203EC2"/>
    <w:rsid w:val="00215A71"/>
    <w:rsid w:val="00243C99"/>
    <w:rsid w:val="0024546D"/>
    <w:rsid w:val="002B6D21"/>
    <w:rsid w:val="002C573E"/>
    <w:rsid w:val="002D202B"/>
    <w:rsid w:val="002E297E"/>
    <w:rsid w:val="003023BF"/>
    <w:rsid w:val="003C020A"/>
    <w:rsid w:val="003C5A29"/>
    <w:rsid w:val="004257C1"/>
    <w:rsid w:val="00474A21"/>
    <w:rsid w:val="00490324"/>
    <w:rsid w:val="004B424E"/>
    <w:rsid w:val="005221CB"/>
    <w:rsid w:val="00532D7C"/>
    <w:rsid w:val="005714CA"/>
    <w:rsid w:val="00583B54"/>
    <w:rsid w:val="005A6E53"/>
    <w:rsid w:val="005B5E1F"/>
    <w:rsid w:val="006A2AF1"/>
    <w:rsid w:val="006A6834"/>
    <w:rsid w:val="006D6AD2"/>
    <w:rsid w:val="00724CE2"/>
    <w:rsid w:val="007279FD"/>
    <w:rsid w:val="00744A76"/>
    <w:rsid w:val="00745870"/>
    <w:rsid w:val="00770D1C"/>
    <w:rsid w:val="00794669"/>
    <w:rsid w:val="007953F8"/>
    <w:rsid w:val="007B57CF"/>
    <w:rsid w:val="007E66FC"/>
    <w:rsid w:val="00801C5C"/>
    <w:rsid w:val="00820290"/>
    <w:rsid w:val="00833ECF"/>
    <w:rsid w:val="00837DD0"/>
    <w:rsid w:val="00847502"/>
    <w:rsid w:val="008B029B"/>
    <w:rsid w:val="008C7603"/>
    <w:rsid w:val="008D19B7"/>
    <w:rsid w:val="008D710A"/>
    <w:rsid w:val="008E5479"/>
    <w:rsid w:val="008F05FF"/>
    <w:rsid w:val="009168AE"/>
    <w:rsid w:val="00923E2E"/>
    <w:rsid w:val="00933452"/>
    <w:rsid w:val="00963E46"/>
    <w:rsid w:val="00980361"/>
    <w:rsid w:val="009D0AA1"/>
    <w:rsid w:val="009D14B1"/>
    <w:rsid w:val="009D208D"/>
    <w:rsid w:val="009D4A6D"/>
    <w:rsid w:val="00AE2E94"/>
    <w:rsid w:val="00B40353"/>
    <w:rsid w:val="00B57F51"/>
    <w:rsid w:val="00B63DD5"/>
    <w:rsid w:val="00B6714C"/>
    <w:rsid w:val="00B845F0"/>
    <w:rsid w:val="00B876D1"/>
    <w:rsid w:val="00BD7962"/>
    <w:rsid w:val="00BE1C20"/>
    <w:rsid w:val="00C335DB"/>
    <w:rsid w:val="00C4175A"/>
    <w:rsid w:val="00C55F98"/>
    <w:rsid w:val="00C941BE"/>
    <w:rsid w:val="00CC1DAB"/>
    <w:rsid w:val="00CC30EE"/>
    <w:rsid w:val="00CE4463"/>
    <w:rsid w:val="00CF5FE8"/>
    <w:rsid w:val="00D06E8D"/>
    <w:rsid w:val="00D72315"/>
    <w:rsid w:val="00D838E5"/>
    <w:rsid w:val="00D8776C"/>
    <w:rsid w:val="00DB68BF"/>
    <w:rsid w:val="00DC59FA"/>
    <w:rsid w:val="00E14571"/>
    <w:rsid w:val="00E4371B"/>
    <w:rsid w:val="00EB427F"/>
    <w:rsid w:val="00EC6F4C"/>
    <w:rsid w:val="00EC7412"/>
    <w:rsid w:val="00F63ED3"/>
    <w:rsid w:val="00F65586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2F9A0E5D-5A51-4419-8154-F3B0469C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5</cp:revision>
  <cp:lastPrinted>2021-12-16T12:06:00Z</cp:lastPrinted>
  <dcterms:created xsi:type="dcterms:W3CDTF">2022-08-08T09:01:00Z</dcterms:created>
  <dcterms:modified xsi:type="dcterms:W3CDTF">2023-05-16T12:29:00Z</dcterms:modified>
</cp:coreProperties>
</file>